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/>
      <w:r>
        <w:drawing>
          <wp:inline distT="0" distB="0" distL="0" distR="0">
            <wp:extent cx="1188720" cy="519598"/>
            <wp:docPr id="1" name="Imagine 1" descr="Logo DWF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Logo DWF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519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Kicker"/>
      </w:pPr>
      <w:r>
        <w:t xml:space="preserve">Comunicat de presă</w:t>
      </w:r>
    </w:p>
    <w:p>
      <w:pPr>
        <w:pStyle w:val="Title"/>
      </w:pPr>
      <w:r>
        <w:t xml:space="preserve">Traficul online din România își încetinește scǎderea, iar AI accelerează: ce arată datele actualizate pe trafic.dwf.ro</w:t>
      </w:r>
    </w:p>
    <w:p>
      <w:pPr>
        <w:pStyle w:val="Subtitle"/>
      </w:pPr>
      <w:r>
        <w:t xml:space="preserve">11 septembrie 2026 · Date și analize</w:t>
      </w:r>
    </w:p>
    <w:p>
      <w:pPr>
        <w:pStyle w:val="Heading2"/>
      </w:pPr>
      <w:r>
        <w:t xml:space="preserve">Date cheie</w:t>
      </w:r>
    </w:p>
    <w:tbl>
      <w:tblPr>
        <w:tblStyle w:val="DWFTable"/>
        <w:tblW w:w="9000" w:type="dxa"/>
        <w:tblLook w:val="04A0" w:firstRow="1" w:firstColumn="1"/>
      </w:tblPr>
      <w:tblGrid>
        <w:gridCol w:w="2600"/>
        <w:gridCol w:w="6400"/>
      </w:tblGrid>
      <w:tr>
        <w:tc>
          <w:tcPr>
            <w:tcW w:w="2600" w:type="dxa"/>
          </w:tcPr>
          <w:p>
            <w:pPr>
              <w:pStyle w:val="TableText"/>
            </w:pPr>
            <w:r>
              <w:rPr>
                <w:b/>
              </w:rPr>
              <w:t xml:space="preserve">784</w:t>
            </w:r>
          </w:p>
        </w:tc>
        <w:tc>
          <w:tcPr>
            <w:tcW w:w="6400" w:type="dxa"/>
          </w:tcPr>
          <w:p>
            <w:pPr>
              <w:pStyle w:val="TableText"/>
            </w:pPr>
            <w:r>
              <w:t xml:space="preserve">site-uri românești în setul actualizat</w:t>
            </w:r>
          </w:p>
        </w:tc>
      </w:tr>
      <w:tr>
        <w:tc>
          <w:tcPr>
            <w:tcW w:w="2600" w:type="dxa"/>
          </w:tcPr>
          <w:p>
            <w:pPr>
              <w:pStyle w:val="TableText"/>
            </w:pPr>
            <w:r>
              <w:rPr>
                <w:b/>
              </w:rPr>
              <w:t xml:space="preserve">145,7 mil.</w:t>
            </w:r>
          </w:p>
        </w:tc>
        <w:tc>
          <w:tcPr>
            <w:tcW w:w="6400" w:type="dxa"/>
          </w:tcPr>
          <w:p>
            <w:pPr>
              <w:pStyle w:val="TableText"/>
            </w:pPr>
            <w:r>
              <w:t xml:space="preserve">sesiuni în august</w:t>
            </w:r>
          </w:p>
        </w:tc>
      </w:tr>
      <w:tr>
        <w:tc>
          <w:tcPr>
            <w:tcW w:w="2600" w:type="dxa"/>
          </w:tcPr>
          <w:p>
            <w:pPr>
              <w:pStyle w:val="TableText"/>
            </w:pPr>
            <w:r>
              <w:rPr>
                <w:b/>
              </w:rPr>
              <w:t xml:space="preserve">+154,4%</w:t>
            </w:r>
          </w:p>
        </w:tc>
        <w:tc>
          <w:tcPr>
            <w:tcW w:w="6400" w:type="dxa"/>
          </w:tcPr>
          <w:p>
            <w:pPr>
              <w:pStyle w:val="TableText"/>
            </w:pPr>
            <w:r>
              <w:t xml:space="preserve">trafic din asistenți AI, an la an</w:t>
            </w:r>
          </w:p>
        </w:tc>
      </w:tr>
      <w:tr>
        <w:tc>
          <w:tcPr>
            <w:tcW w:w="2600" w:type="dxa"/>
          </w:tcPr>
          <w:p>
            <w:pPr>
              <w:pStyle w:val="TableText"/>
            </w:pPr>
            <w:r>
              <w:rPr>
                <w:b/>
              </w:rPr>
              <w:t xml:space="preserve">+17,7%</w:t>
            </w:r>
          </w:p>
        </w:tc>
        <w:tc>
          <w:tcPr>
            <w:tcW w:w="6400" w:type="dxa"/>
          </w:tcPr>
          <w:p>
            <w:pPr>
              <w:pStyle w:val="TableText"/>
            </w:pPr>
            <w:r>
              <w:t xml:space="preserve">venituri eCommerce, an la an</w:t>
            </w:r>
          </w:p>
        </w:tc>
      </w:tr>
    </w:tbl>
    <w:p>
      <w:pPr/>
    </w:p>
    <w:p>
      <w:pPr/>
      <w:r>
        <w:rPr>
          <w:b/>
        </w:rPr>
        <w:t xml:space="preserve">Prima actualizare a dashboard-ului public trafic.dwf.ro aduce și primele date comparabile de la lansare și arată cum a evoluat piața digitală românească într-o singură lună.</w:t>
      </w:r>
    </w:p>
    <w:p>
      <w:pPr/>
      <w:r>
        <w:rPr>
          <w:b/>
        </w:rPr>
        <w:t xml:space="preserve">București, 10 septembrie 2026</w:t>
      </w:r>
      <w:r>
        <w:t xml:space="preserve"> - Lansat de DWF în august 2026, dashboardul agregă anonim date din proprietăți Google Analytics 4 monitorizate direct de agenție. Datele actualizate acoperă </w:t>
      </w:r>
      <w:r>
        <w:rPr>
          <w:b/>
        </w:rPr>
        <w:t xml:space="preserve">784 de site-uri românești</w:t>
      </w:r>
      <w:r>
        <w:t xml:space="preserve">, cu </w:t>
      </w:r>
      <w:r>
        <w:rPr>
          <w:b/>
        </w:rPr>
        <w:t xml:space="preserve">145,7 milioane de sesiuni și 829.000 de tranzacții</w:t>
      </w:r>
      <w:r>
        <w:t xml:space="preserve"> pe luna august. Dashboardul este disponibil gratuit, fără cont.</w:t>
      </w:r>
    </w:p>
    <w:p>
      <w:pPr>
        <w:pStyle w:val="Heading1"/>
      </w:pPr>
      <w:r>
        <w:t xml:space="preserve">Ce s-a schimbat față de luna anterioarǎ</w:t>
      </w:r>
    </w:p>
    <w:p>
      <w:pPr/>
      <w:r>
        <w:t xml:space="preserve">Primul set, bazat pe datele lunii iulie, arăta o scădere a tuturor canalelor clasice, în timp ce traficul din asistenți AI era singurul aflat pe creștere. O singură lună nu confirmă un trend, dar datele din august arată că ipoteza „toate canalele clasice scad” nu mai descrie piața la fel de clar.</w:t>
      </w:r>
    </w:p>
    <w:p>
      <w:pPr/>
      <w:r>
        <w:rPr>
          <w:b/>
        </w:rPr>
        <w:t xml:space="preserve">Paid și Social au revenit pe creștere, scăderea Search s-a temperat, iar traficul din asistenți AI a crescut cu 154% într-un an. În eCommerce, veniturile sunt cu 17,7% mai mari.</w:t>
      </w:r>
    </w:p>
    <w:tbl>
      <w:tblPr>
        <w:tblStyle w:val="DWFTable"/>
        <w:tblW w:w="9000" w:type="dxa"/>
        <w:tblLook w:val="04A0" w:firstRow="1" w:firstColumn="1"/>
      </w:tblPr>
      <w:tblGrid>
        <w:gridCol w:w="2250"/>
        <w:gridCol w:w="2250"/>
        <w:gridCol w:w="2250"/>
        <w:gridCol w:w="2250"/>
      </w:tblGrid>
      <w:tr>
        <w:trPr>
          <w:tblHeader/>
        </w:trPr>
        <w:tc>
          <w:tcPr>
            <w:tcW w:w="2250" w:type="dxa"/>
            <w:shd w:val="clear" w:color="auto" w:fill="F5F8FD"/>
          </w:tcPr>
          <w:p>
            <w:pPr>
              <w:pStyle w:val="TableText"/>
            </w:pPr>
            <w:r>
              <w:rPr>
                <w:b/>
              </w:rPr>
              <w:t xml:space="preserve">Canal</w:t>
            </w:r>
          </w:p>
        </w:tc>
        <w:tc>
          <w:tcPr>
            <w:tcW w:w="2250" w:type="dxa"/>
            <w:shd w:val="clear" w:color="auto" w:fill="F5F8FD"/>
          </w:tcPr>
          <w:p>
            <w:pPr>
              <w:pStyle w:val="TableText"/>
            </w:pPr>
            <w:r>
              <w:rPr>
                <w:b/>
              </w:rPr>
              <w:t xml:space="preserve">Sesiuni (August)</w:t>
            </w:r>
          </w:p>
        </w:tc>
        <w:tc>
          <w:tcPr>
            <w:tcW w:w="2250" w:type="dxa"/>
            <w:shd w:val="clear" w:color="auto" w:fill="F5F8FD"/>
          </w:tcPr>
          <w:p>
            <w:pPr>
              <w:pStyle w:val="TableText"/>
            </w:pPr>
            <w:r>
              <w:rPr>
                <w:b/>
              </w:rPr>
              <w:t xml:space="preserve">Evoluție YoY (Iulie)</w:t>
            </w:r>
          </w:p>
        </w:tc>
        <w:tc>
          <w:tcPr>
            <w:tcW w:w="2250" w:type="dxa"/>
            <w:shd w:val="clear" w:color="auto" w:fill="F5F8FD"/>
          </w:tcPr>
          <w:p>
            <w:pPr>
              <w:pStyle w:val="TableText"/>
            </w:pPr>
            <w:r>
              <w:rPr>
                <w:b/>
              </w:rPr>
              <w:t xml:space="preserve">Evoluție YoY (August)</w:t>
            </w:r>
          </w:p>
        </w:tc>
      </w:tr>
      <w:tr>
        <w:tc>
          <w:tcPr>
            <w:tcW w:w="2250" w:type="dxa"/>
          </w:tcPr>
          <w:p>
            <w:pPr>
              <w:pStyle w:val="TableText"/>
            </w:pPr>
            <w:r>
              <w:rPr>
                <w:b/>
              </w:rPr>
              <w:t xml:space="preserve">Trafic total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145,7 mil.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−10,7%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>
                <w:b/>
              </w:rPr>
              <w:t xml:space="preserve">−7,1%</w:t>
            </w:r>
          </w:p>
        </w:tc>
      </w:tr>
      <w:tr>
        <w:tc>
          <w:tcPr>
            <w:tcW w:w="2250" w:type="dxa"/>
          </w:tcPr>
          <w:p>
            <w:pPr>
              <w:pStyle w:val="TableText"/>
            </w:pPr>
            <w:r>
              <w:rPr>
                <w:b/>
              </w:rPr>
              <w:t xml:space="preserve">Search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39,3 mil.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−20,0%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>
                <w:b/>
              </w:rPr>
              <w:t xml:space="preserve">−18,3%</w:t>
            </w:r>
          </w:p>
        </w:tc>
      </w:tr>
      <w:tr>
        <w:tc>
          <w:tcPr>
            <w:tcW w:w="2250" w:type="dxa"/>
          </w:tcPr>
          <w:p>
            <w:pPr>
              <w:pStyle w:val="TableText"/>
            </w:pPr>
            <w:r>
              <w:rPr>
                <w:b/>
              </w:rPr>
              <w:t xml:space="preserve">Paid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44,0 mil.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−1,7%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>
                <w:b/>
              </w:rPr>
              <w:t xml:space="preserve">+7,0%</w:t>
            </w:r>
          </w:p>
        </w:tc>
      </w:tr>
      <w:tr>
        <w:tc>
          <w:tcPr>
            <w:tcW w:w="2250" w:type="dxa"/>
          </w:tcPr>
          <w:p>
            <w:pPr>
              <w:pStyle w:val="TableText"/>
            </w:pPr>
            <w:r>
              <w:rPr>
                <w:b/>
              </w:rPr>
              <w:t xml:space="preserve">Social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3,5 mil.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−1,0%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>
                <w:b/>
              </w:rPr>
              <w:t xml:space="preserve">+9,8%</w:t>
            </w:r>
          </w:p>
        </w:tc>
      </w:tr>
      <w:tr>
        <w:tc>
          <w:tcPr>
            <w:tcW w:w="2250" w:type="dxa"/>
          </w:tcPr>
          <w:p>
            <w:pPr>
              <w:pStyle w:val="TableText"/>
            </w:pPr>
            <w:r>
              <w:rPr>
                <w:b/>
              </w:rPr>
              <w:t xml:space="preserve">Direct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27,3 mil.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−12,9%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>
                <w:b/>
              </w:rPr>
              <w:t xml:space="preserve">−10,9%</w:t>
            </w:r>
          </w:p>
        </w:tc>
      </w:tr>
      <w:tr>
        <w:tc>
          <w:tcPr>
            <w:tcW w:w="2250" w:type="dxa"/>
          </w:tcPr>
          <w:p>
            <w:pPr>
              <w:pStyle w:val="TableText"/>
            </w:pPr>
            <w:r>
              <w:rPr>
                <w:b/>
              </w:rPr>
              <w:t xml:space="preserve">Asistenți AI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995.000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+47,6%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>
                <w:b/>
              </w:rPr>
              <w:t xml:space="preserve">+154,4%</w:t>
            </w:r>
          </w:p>
        </w:tc>
      </w:tr>
    </w:tbl>
    <w:p>
      <w:pPr/>
    </w:p>
    <w:p>
      <w:pPr/>
      <w:r>
        <w:rPr>
          <w:i/>
        </w:rPr>
        <w:t xml:space="preserve">Notă metodologică: cohorta se recompune la fiecare ediție, iar variațiile year over year sunt calculate pe luni calendaristice complete. Volumele absolute din fiecare lunǎ nu sunt comparabile direct de la o ediție la alta; procentele de evoluție sunt.</w:t>
      </w:r>
    </w:p>
    <w:p>
      <w:pPr>
        <w:pStyle w:val="Heading1"/>
      </w:pPr>
      <w:r>
        <w:t xml:space="preserve">AI: creșterea s-a triplat între două ediții consecutive</w:t>
      </w:r>
    </w:p>
    <w:p>
      <w:pPr/>
      <w:r>
        <w:t xml:space="preserve">Traficul din asistenți AI a ajuns la </w:t>
      </w:r>
      <w:r>
        <w:rPr>
          <w:b/>
        </w:rPr>
        <w:t xml:space="preserve">995.000 de sesiuni în august</w:t>
      </w:r>
      <w:r>
        <w:t xml:space="preserve">, în creștere cu </w:t>
      </w:r>
      <w:r>
        <w:rPr>
          <w:b/>
        </w:rPr>
        <w:t xml:space="preserve">154,4% YoY</w:t>
      </w:r>
      <w:r>
        <w:t xml:space="preserve"> față de 47,6% în primul set de calcul pe iulie. Este a </w:t>
      </w:r>
      <w:r>
        <w:rPr>
          <w:b/>
        </w:rPr>
        <w:t xml:space="preserve">14-a lună consecutivă</w:t>
      </w:r>
      <w:r>
        <w:t xml:space="preserve"> în care canalul depășește nivelul anului anterior.</w:t>
      </w:r>
    </w:p>
    <w:p>
      <w:pPr/>
      <w:r>
        <w:t xml:space="preserve">Ponderea AI a crescut de la </w:t>
      </w:r>
      <w:r>
        <w:rPr>
          <w:b/>
        </w:rPr>
        <w:t xml:space="preserve">1,43% la 2,53% din traficul Search</w:t>
      </w:r>
      <w:r>
        <w:t xml:space="preserve">, dar rămâne la doar </w:t>
      </w:r>
      <w:r>
        <w:rPr>
          <w:b/>
        </w:rPr>
        <w:t xml:space="preserve">0,68% din traficul total</w:t>
      </w:r>
      <w:r>
        <w:t xml:space="preserve">. Canalul este dominat de ChatGPT, care generează acum </w:t>
      </w:r>
      <w:r>
        <w:rPr>
          <w:b/>
        </w:rPr>
        <w:t xml:space="preserve">98,5% din traficul AI</w:t>
      </w:r>
      <w:r>
        <w:t xml:space="preserve">, față de 97,1% în ediția precedentă. Claude și Gemini au câte 0,6%, iar Copilot 0,2%.</w:t>
      </w:r>
    </w:p>
    <w:p>
      <w:pPr/>
      <w:r>
        <w:rPr>
          <w:i/>
        </w:rPr>
        <w:t xml:space="preserve">„AI-ul înseamnă 0,7% din tot traficul și 0,8% din veniturile magazinelor. Dacă te uiți doar la volum, nu e nimic de discutat. Eu mă uit și la rata de creștere, și la ce face vizitatorul acela când ajunge pe site: convertește de 1,3 ori mai des decât cel din Google organic și lasă un coș cu 28% mai mare. Iar banii aduși de AI magazinelor din studiu sunt de peste trei ori mai mari decât anul trecut, în fiecare dintre ultimele șase luni." - Radu Mărcușu, Search Director DWF</w:t>
      </w:r>
    </w:p>
    <w:p>
      <w:pPr>
        <w:pStyle w:val="Heading1"/>
      </w:pPr>
      <w:r>
        <w:t xml:space="preserve">Scade interesul informațional, dar crește e-commerce-ul</w:t>
      </w:r>
    </w:p>
    <w:p>
      <w:pPr/>
      <w:r>
        <w:t xml:space="preserve">Piața digitală se împarte în două direcții: </w:t>
      </w:r>
      <w:r>
        <w:rPr>
          <w:b/>
        </w:rPr>
        <w:t xml:space="preserve">traficul total din august 2026 este cu 7,1% sub nivelul din august 2025</w:t>
      </w:r>
      <w:r>
        <w:t xml:space="preserve">, în timp ce traficul către magazinele online din cohortă este cu peste </w:t>
      </w:r>
      <w:r>
        <w:rPr>
          <w:b/>
        </w:rPr>
        <w:t xml:space="preserve">19% mai mare</w:t>
      </w:r>
      <w:r>
        <w:t xml:space="preserve"> decât în aceeași perioadă a anului trecut. Veniturile eCommerce cresc cu </w:t>
      </w:r>
      <w:r>
        <w:rPr>
          <w:b/>
        </w:rPr>
        <w:t xml:space="preserve">17,7%</w:t>
      </w:r>
      <w:r>
        <w:t xml:space="preserve">, comenzile cu </w:t>
      </w:r>
      <w:r>
        <w:rPr>
          <w:b/>
        </w:rPr>
        <w:t xml:space="preserve">13,2%</w:t>
      </w:r>
      <w:r>
        <w:t xml:space="preserve">, iar valoarea medie a coșului cu </w:t>
      </w:r>
      <w:r>
        <w:rPr>
          <w:b/>
        </w:rPr>
        <w:t xml:space="preserve">4%</w:t>
      </w:r>
      <w:r>
        <w:t xml:space="preserve">.</w:t>
      </w:r>
    </w:p>
    <w:p>
      <w:pPr/>
      <w:r>
        <w:t xml:space="preserve">Față de iulie, lunǎ în care traficul total era cu </w:t>
      </w:r>
      <w:r>
        <w:rPr>
          <w:b/>
        </w:rPr>
        <w:t xml:space="preserve">10,7% sub nivelul aceleiași perioade din 2025</w:t>
      </w:r>
      <w:r>
        <w:t xml:space="preserve">, scăderea s-a temperat. În eCommerce, creșterea veniturilor s-a accelerat de la </w:t>
      </w:r>
      <w:r>
        <w:rPr>
          <w:b/>
        </w:rPr>
        <w:t xml:space="preserve">9,8% la 17,7%</w:t>
      </w:r>
      <w:r>
        <w:t xml:space="preserve">.</w:t>
      </w:r>
    </w:p>
    <w:p>
      <w:pPr>
        <w:pStyle w:val="Heading1"/>
      </w:pPr>
      <w:r>
        <w:t xml:space="preserve">SEO: mai puține vizite, mai mulți bani</w:t>
      </w:r>
    </w:p>
    <w:p>
      <w:pPr/>
      <w:r>
        <w:t xml:space="preserve">Decuplarea dintre trafic și valoare se vede cel mai clar în traficul organic către magazinele online: sesiunile scad cu </w:t>
      </w:r>
      <w:r>
        <w:rPr>
          <w:b/>
        </w:rPr>
        <w:t xml:space="preserve">15,9%</w:t>
      </w:r>
      <w:r>
        <w:t xml:space="preserve"> față de anul trecut, dar veniturile cresc cu </w:t>
      </w:r>
      <w:r>
        <w:rPr>
          <w:b/>
        </w:rPr>
        <w:t xml:space="preserve">6,9%</w:t>
      </w:r>
      <w:r>
        <w:t xml:space="preserve">, față de -0,7% în prima ediție.</w:t>
      </w:r>
    </w:p>
    <w:p>
      <w:pPr/>
      <w:r>
        <w:t xml:space="preserve">Diferența vine din calitatea traficului: rata de conversie a crescut cu </w:t>
      </w:r>
      <w:r>
        <w:rPr>
          <w:b/>
        </w:rPr>
        <w:t xml:space="preserve">13,5%</w:t>
      </w:r>
      <w:r>
        <w:t xml:space="preserve">, iar valoarea medie a comenzii cu </w:t>
      </w:r>
      <w:r>
        <w:rPr>
          <w:b/>
        </w:rPr>
        <w:t xml:space="preserve">12%</w:t>
      </w:r>
      <w:r>
        <w:t xml:space="preserve">. Cu alte cuvinte, SEO aduce mai puține vizite, dar un trafic mai orientat spre cumpărare.</w:t>
      </w:r>
    </w:p>
    <w:p>
      <w:pPr>
        <w:pStyle w:val="Heading1"/>
      </w:pPr>
      <w:r>
        <w:t xml:space="preserve">Paid crește mai repede decât investiția</w:t>
      </w:r>
    </w:p>
    <w:p>
      <w:pPr/>
      <w:r>
        <w:t xml:space="preserve">În eCommerce, Paid a adus cu </w:t>
      </w:r>
      <w:r>
        <w:rPr>
          <w:b/>
        </w:rPr>
        <w:t xml:space="preserve">24,2% mai multe sesiuni</w:t>
      </w:r>
      <w:r>
        <w:t xml:space="preserve"> și cu </w:t>
      </w:r>
      <w:r>
        <w:rPr>
          <w:b/>
        </w:rPr>
        <w:t xml:space="preserve">24,8% mai multe venituri</w:t>
      </w:r>
      <w:r>
        <w:t xml:space="preserve"> față de anul trecut, în timp ce investiția în Google Ads a crescut cu </w:t>
      </w:r>
      <w:r>
        <w:rPr>
          <w:b/>
        </w:rPr>
        <w:t xml:space="preserve">17,6%</w:t>
      </w:r>
      <w:r>
        <w:t xml:space="preserve">. Veniturile au crescut, astfel, mai repede decât bugetele.</w:t>
      </w:r>
    </w:p>
    <w:p>
      <w:pPr/>
      <w:r>
        <w:t xml:space="preserve">Și costul traficului s-a redus: </w:t>
      </w:r>
      <w:r>
        <w:rPr>
          <w:b/>
        </w:rPr>
        <w:t xml:space="preserve">CPC-ul mediu a scăzut cu 8,6%, la 0,69 lei</w:t>
      </w:r>
      <w:r>
        <w:t xml:space="preserve">, față de o creștere în prima ediție. Pe doi ani, CPC-ul rămâne însă cu aproximativ </w:t>
      </w:r>
      <w:r>
        <w:rPr>
          <w:b/>
        </w:rPr>
        <w:t xml:space="preserve">10% peste nivelul din 2024</w:t>
      </w:r>
      <w:r>
        <w:t xml:space="preserve">, ceea ce arată că scăderea recentă corectează doar parțial creșterea anterioară.</w:t>
      </w:r>
    </w:p>
    <w:p>
      <w:pPr>
        <w:pStyle w:val="Heading1"/>
      </w:pPr>
      <w:r>
        <w:t xml:space="preserve">Ce se întâmplă la checkout</w:t>
      </w:r>
    </w:p>
    <w:p>
      <w:pPr/>
      <w:r>
        <w:t xml:space="preserve">Comparate pe aceleași magazine, canalele se comportă diferit în momentul cumpărării:</w:t>
      </w:r>
    </w:p>
    <w:tbl>
      <w:tblPr>
        <w:tblStyle w:val="DWFTable"/>
        <w:tblW w:w="9000" w:type="dxa"/>
        <w:tblLook w:val="04A0" w:firstRow="1" w:firstColumn="1"/>
      </w:tblPr>
      <w:tblGrid>
        <w:gridCol w:w="2250"/>
        <w:gridCol w:w="2250"/>
        <w:gridCol w:w="2250"/>
        <w:gridCol w:w="2250"/>
      </w:tblGrid>
      <w:tr>
        <w:trPr>
          <w:tblHeader/>
        </w:trPr>
        <w:tc>
          <w:tcPr>
            <w:tcW w:w="2250" w:type="dxa"/>
            <w:shd w:val="clear" w:color="auto" w:fill="F5F8FD"/>
          </w:tcPr>
          <w:p>
            <w:pPr>
              <w:pStyle w:val="TableText"/>
            </w:pPr>
            <w:r>
              <w:rPr>
                <w:b/>
              </w:rPr>
              <w:t xml:space="preserve">Canal</w:t>
            </w:r>
          </w:p>
        </w:tc>
        <w:tc>
          <w:tcPr>
            <w:tcW w:w="2250" w:type="dxa"/>
            <w:shd w:val="clear" w:color="auto" w:fill="F5F8FD"/>
          </w:tcPr>
          <w:p>
            <w:pPr>
              <w:pStyle w:val="TableText"/>
            </w:pPr>
            <w:r>
              <w:rPr>
                <w:b/>
              </w:rPr>
              <w:t xml:space="preserve">Rată de conversie</w:t>
            </w:r>
          </w:p>
        </w:tc>
        <w:tc>
          <w:tcPr>
            <w:tcW w:w="2250" w:type="dxa"/>
            <w:shd w:val="clear" w:color="auto" w:fill="F5F8FD"/>
          </w:tcPr>
          <w:p>
            <w:pPr>
              <w:pStyle w:val="TableText"/>
            </w:pPr>
            <w:r>
              <w:rPr>
                <w:b/>
              </w:rPr>
              <w:t xml:space="preserve">Coș mediu</w:t>
            </w:r>
          </w:p>
        </w:tc>
        <w:tc>
          <w:tcPr>
            <w:tcW w:w="2250" w:type="dxa"/>
            <w:shd w:val="clear" w:color="auto" w:fill="F5F8FD"/>
          </w:tcPr>
          <w:p>
            <w:pPr>
              <w:pStyle w:val="TableText"/>
            </w:pPr>
            <w:r>
              <w:rPr>
                <w:b/>
              </w:rPr>
              <w:t xml:space="preserve">Valoare / sesiune</w:t>
            </w:r>
          </w:p>
        </w:tc>
      </w:tr>
      <w:tr>
        <w:tc>
          <w:tcPr>
            <w:tcW w:w="2250" w:type="dxa"/>
          </w:tcPr>
          <w:p>
            <w:pPr>
              <w:pStyle w:val="TableText"/>
            </w:pPr>
            <w:r>
              <w:rPr>
                <w:b/>
              </w:rPr>
              <w:t xml:space="preserve">Paid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2,44%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264 lei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6,4 lei</w:t>
            </w:r>
          </w:p>
        </w:tc>
      </w:tr>
      <w:tr>
        <w:tc>
          <w:tcPr>
            <w:tcW w:w="2250" w:type="dxa"/>
          </w:tcPr>
          <w:p>
            <w:pPr>
              <w:pStyle w:val="TableText"/>
            </w:pPr>
            <w:r>
              <w:rPr>
                <w:b/>
              </w:rPr>
              <w:t xml:space="preserve">Asistenți AI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2,35%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377 lei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8,9 lei</w:t>
            </w:r>
          </w:p>
        </w:tc>
      </w:tr>
      <w:tr>
        <w:tc>
          <w:tcPr>
            <w:tcW w:w="2250" w:type="dxa"/>
          </w:tcPr>
          <w:p>
            <w:pPr>
              <w:pStyle w:val="TableText"/>
            </w:pPr>
            <w:r>
              <w:rPr>
                <w:b/>
              </w:rPr>
              <w:t xml:space="preserve">Organic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1,81%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293 lei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5,3 lei</w:t>
            </w:r>
          </w:p>
        </w:tc>
      </w:tr>
      <w:tr>
        <w:tc>
          <w:tcPr>
            <w:tcW w:w="2250" w:type="dxa"/>
          </w:tcPr>
          <w:p>
            <w:pPr>
              <w:pStyle w:val="TableText"/>
            </w:pPr>
            <w:r>
              <w:rPr>
                <w:b/>
              </w:rPr>
              <w:t xml:space="preserve">Direct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1,15%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411 lei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-</w:t>
            </w:r>
          </w:p>
        </w:tc>
      </w:tr>
    </w:tbl>
    <w:p>
      <w:pPr/>
    </w:p>
    <w:p>
      <w:pPr/>
      <w:r>
        <w:t xml:space="preserve">Traficul din AI convertește de </w:t>
      </w:r>
      <w:r>
        <w:rPr>
          <w:b/>
        </w:rPr>
        <w:t xml:space="preserve">1,3 ori mai des decât Google organic</w:t>
      </w:r>
      <w:r>
        <w:t xml:space="preserve"> și generează un coș mediu cu </w:t>
      </w:r>
      <w:r>
        <w:rPr>
          <w:b/>
        </w:rPr>
        <w:t xml:space="preserve">28% mai mare</w:t>
      </w:r>
      <w:r>
        <w:t xml:space="preserve">. Față de iulie, avantajul de conversie s-a redus de la 1,5x, pe fondul îmbunătățirii conversiei în organic.</w:t>
      </w:r>
    </w:p>
    <w:p>
      <w:pPr/>
      <w:r>
        <w:t xml:space="preserve">AI rămâne </w:t>
      </w:r>
      <w:r>
        <w:rPr>
          <w:b/>
        </w:rPr>
        <w:t xml:space="preserve">canalul cu cea mai rapidă creștere și una dintre cele mai mari valori per vizită</w:t>
      </w:r>
      <w:r>
        <w:t xml:space="preserve">. Veniturile atribuite AI au ajuns la </w:t>
      </w:r>
      <w:r>
        <w:rPr>
          <w:b/>
        </w:rPr>
        <w:t xml:space="preserve">2,1 milioane de lei în august</w:t>
      </w:r>
      <w:r>
        <w:t xml:space="preserve">, dintre care </w:t>
      </w:r>
      <w:r>
        <w:rPr>
          <w:b/>
        </w:rPr>
        <w:t xml:space="preserve">97,5% provin din ChatGPT</w:t>
      </w:r>
      <w:r>
        <w:t xml:space="preserve">.</w:t>
      </w:r>
    </w:p>
    <w:p>
      <w:pPr>
        <w:pStyle w:val="Heading1"/>
      </w:pPr>
      <w:r>
        <w:t xml:space="preserve">Rezerva de măsurare</w:t>
      </w:r>
    </w:p>
    <w:p>
      <w:pPr/>
      <w:r>
        <w:t xml:space="preserve">GA4 identifică doar o parte din traficul AI. Estimări independente indică faptul că aproximativ </w:t>
      </w:r>
      <w:r>
        <w:rPr>
          <w:b/>
        </w:rPr>
        <w:t xml:space="preserve">70% rămâne neatribuit</w:t>
      </w:r>
      <w:r>
        <w:t xml:space="preserve"> (sursa: </w:t>
      </w:r>
      <w:r>
        <w:rPr>
          <w:b/>
        </w:rPr>
        <w:t xml:space="preserve">Loamly.ai, februarie 2026</w:t>
      </w:r>
      <w:r>
        <w:t xml:space="preserve">), ceea ce ar însemna, pentru august, circa </w:t>
      </w:r>
      <w:r>
        <w:rPr>
          <w:b/>
        </w:rPr>
        <w:t xml:space="preserve">3 milioane de sesiuni AI</w:t>
      </w:r>
      <w:r>
        <w:t xml:space="preserve"> și o pondere estimată de </w:t>
      </w:r>
      <w:r>
        <w:rPr>
          <w:b/>
        </w:rPr>
        <w:t xml:space="preserve">7,6% din traficul Search</w:t>
      </w:r>
      <w:r>
        <w:t xml:space="preserve">, față de 4,29% în prima ediție.</w:t>
      </w:r>
    </w:p>
    <w:p>
      <w:pPr/>
      <w:r>
        <w:rPr>
          <w:b/>
        </w:rPr>
        <w:t xml:space="preserve">Este o estimare, nu o măsurătoare directă.</w:t>
      </w:r>
    </w:p>
    <w:p>
      <w:pPr>
        <w:pStyle w:val="Heading1"/>
      </w:pPr>
      <w:r>
        <w:t xml:space="preserve">Cifre cheie, pe scurt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Piața pierde trafic mai lent:</w:t>
      </w:r>
      <w:r>
        <w:t xml:space="preserve"> −7,1%, față de −10,7% în iulie.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Paid și Social au revenit pe creștere</w:t>
      </w:r>
      <w:r>
        <w:t xml:space="preserve">, după o perioadă de scădere ușoară.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AI-ul și-a triplat ritmul</w:t>
      </w:r>
      <w:r>
        <w:t xml:space="preserve">, de la +47,6% la +154,4%, rămânând sub 1% din traficul total.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Veniturile din SEO au trecut de la stagnare la creștere</w:t>
      </w:r>
      <w:r>
        <w:t xml:space="preserve">, deși traficul organic continuă să scadă puternic.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Volumul și valoarea nu se mai suprapun.</w:t>
      </w:r>
      <w:r>
        <w:t xml:space="preserve"> Un canal poate pierde vizite și câștiga bani în același timp - sau invers.</w:t>
      </w:r>
    </w:p>
    <w:p>
      <w:pPr/>
      <w:r>
        <w:t xml:space="preserve">Pentru companii, concluzia practică ține de instrumentarul de raportare: câtă vreme cele două curbe merg în direcții diferite, un singur indicator de volum nu mai poate descrie performanța unui cana</w:t>
      </w:r>
    </w:p>
    <w:p>
      <w:pPr/>
      <w:hyperlink r:id="rId11">
        <w:r>
          <w:rPr>
            <w:rStyle w:val="Hyperlink"/>
          </w:rPr>
          <w:t xml:space="preserve">trafic.dwf.ro</w:t>
        </w:r>
      </w:hyperlink>
      <w:r>
        <w:t xml:space="preserve"> este gratuit, nu necesită înregistrare și se actualizează lunar. Cifrele prezentate sunt aferente lunii august.</w:t>
      </w:r>
    </w:p>
    <w:p>
      <w:pPr>
        <w:pStyle w:val="Heading1"/>
      </w:pPr>
      <w:r>
        <w:t xml:space="preserve">Despre DWF</w:t>
      </w:r>
    </w:p>
    <w:p>
      <w:pPr>
        <w:pStyle w:val="Boilerplate"/>
      </w:pPr>
      <w:r>
        <w:t xml:space="preserve">DWF este o agenție de digital marketing construită în jurul performanței, tehnologiei și datelor. Agenția reunește specialiști din SEO, Paid Media, Social Media, Content și AI pentru a dezvolta strategii integrate și a transforma obiectivele de business în rezultate măsurabile.</w:t>
      </w:r>
    </w:p>
    <w:p>
      <w:pPr>
        <w:pStyle w:val="Heading2"/>
      </w:pPr>
      <w:r>
        <w:t xml:space="preserve">Contact pentru presă</w:t>
      </w:r>
    </w:p>
    <w:p>
      <w:pPr/>
      <w:r>
        <w:rPr>
          <w:b/>
        </w:rPr>
        <w:t xml:space="preserve">Mona Ilie</w:t>
      </w:r>
      <w:r>
        <w:br/>
      </w:r>
      <w:r>
        <w:t xml:space="preserve">Contact relații media</w:t>
      </w:r>
      <w:r>
        <w:br/>
      </w:r>
      <w:hyperlink r:id="rId12">
        <w:r>
          <w:rPr>
            <w:rStyle w:val="Hyperlink"/>
          </w:rPr>
          <w:t xml:space="preserve">mona@dwf.ro</w:t>
        </w:r>
      </w:hyperlink>
    </w:p>
    <w:p>
      <w:pPr>
        <w:pStyle w:val="SourceNote"/>
      </w:pPr>
      <w:r>
        <w:t xml:space="preserve">Comunicat publicat pe </w:t>
      </w:r>
      <w:hyperlink r:id="rId13">
        <w:r>
          <w:rPr>
            <w:rStyle w:val="Hyperlink"/>
          </w:rPr>
          <w:t xml:space="preserve">https://dwf.ro/companie/comunicate-de-presa/trafic-dwf-ro-actualizare-date-august-2026</w:t>
        </w:r>
      </w:hyperlink>
    </w:p>
    <w:sectPr>
      <w:pgSz w:w="11906" w:h="16838"/>
      <w:pgMar w:top="1300" w:right="1300" w:bottom="1300" w:left="1300" w:header="600" w:footer="60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ro-RO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qFormat/>
    <w:rPr>
      <w:color w:val="262D3A"/>
    </w:rPr>
  </w:style>
  <w:style w:type="paragraph" w:styleId="Title">
    <w:name w:val="Title"/>
    <w:basedOn w:val="Normal"/>
    <w:next w:val="Normal"/>
    <w:qFormat/>
    <w:pPr>
      <w:spacing w:before="120" w:after="200" w:line="264" w:lineRule="auto"/>
    </w:pPr>
    <w:rPr>
      <w:b/>
      <w:color w:val="002060"/>
      <w:sz w:val="44"/>
      <w:szCs w:val="44"/>
    </w:rPr>
  </w:style>
  <w:style w:type="paragraph" w:styleId="Kicker">
    <w:name w:val="Kicker"/>
    <w:basedOn w:val="Normal"/>
    <w:next w:val="Title"/>
    <w:qFormat/>
    <w:pPr>
      <w:spacing w:before="240" w:after="60"/>
    </w:pPr>
    <w:rPr>
      <w:b/>
      <w:caps/>
      <w:color w:val="005BDC"/>
      <w:spacing w:val="20"/>
      <w:sz w:val="18"/>
      <w:szCs w:val="18"/>
    </w:rPr>
  </w:style>
  <w:style w:type="paragraph" w:styleId="Subtitle">
    <w:name w:val="Subtitle"/>
    <w:basedOn w:val="Normal"/>
    <w:next w:val="Normal"/>
    <w:qFormat/>
    <w:pPr>
      <w:pBdr>
        <w:bottom w:val="single" w:sz="4" w:space="8" w:color="DBE3EE"/>
      </w:pBdr>
      <w:spacing w:after="280"/>
    </w:pPr>
    <w:rPr>
      <w:color w:val="535F72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002060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color w:val="002060"/>
      <w:sz w:val="25"/>
      <w:szCs w:val="25"/>
    </w:rPr>
  </w:style>
  <w:style w:type="paragraph" w:styleId="Lead">
    <w:name w:val="Lead"/>
    <w:basedOn w:val="Normal"/>
    <w:qFormat/>
    <w:rPr>
      <w:b/>
      <w:color w:val="002060"/>
      <w:sz w:val="26"/>
      <w:szCs w:val="26"/>
    </w:rPr>
  </w:style>
  <w:style w:type="paragraph" w:styleId="Quote">
    <w:name w:val="Quote"/>
    <w:basedOn w:val="Normal"/>
    <w:next w:val="Normal"/>
    <w:qFormat/>
    <w:pPr>
      <w:pBdr>
        <w:left w:val="single" w:sz="18" w:space="12" w:color="0068FF"/>
      </w:pBdr>
      <w:ind w:left="340"/>
    </w:pPr>
    <w:rPr>
      <w:color w:val="002060"/>
      <w:sz w:val="24"/>
      <w:szCs w:val="24"/>
    </w:rPr>
  </w:style>
  <w:style w:type="paragraph" w:styleId="ListBullet">
    <w:name w:val="List Bullet"/>
    <w:basedOn w:val="Normal"/>
    <w:qFormat/>
    <w:pPr>
      <w:spacing w:after="80"/>
      <w:ind w:left="720" w:hanging="360"/>
    </w:pPr>
  </w:style>
  <w:style w:type="paragraph" w:styleId="ListNumber">
    <w:name w:val="List Number"/>
    <w:basedOn w:val="Normal"/>
    <w:qFormat/>
    <w:pPr>
      <w:spacing w:after="80"/>
      <w:ind w:left="720" w:hanging="360"/>
    </w:pPr>
  </w:style>
  <w:style w:type="paragraph" w:styleId="Boilerplate">
    <w:name w:val="Boilerplate"/>
    <w:basedOn w:val="Normal"/>
    <w:qFormat/>
    <w:rPr>
      <w:color w:val="535F72"/>
      <w:sz w:val="20"/>
      <w:szCs w:val="20"/>
    </w:rPr>
  </w:style>
  <w:style w:type="paragraph" w:styleId="SourceNote">
    <w:name w:val="Source Note"/>
    <w:basedOn w:val="Normal"/>
    <w:qFormat/>
    <w:pPr>
      <w:spacing w:before="240"/>
    </w:pPr>
    <w:rPr>
      <w:color w:val="535F72"/>
      <w:sz w:val="18"/>
      <w:szCs w:val="18"/>
    </w:rPr>
  </w:style>
  <w:style w:type="paragraph" w:styleId="TableText">
    <w:name w:val="Table Text"/>
    <w:basedOn w:val="Normal"/>
    <w:qFormat/>
    <w:pPr>
      <w:spacing w:after="0" w:line="240" w:lineRule="auto"/>
    </w:pPr>
    <w:rPr>
      <w:sz w:val="20"/>
      <w:szCs w:val="20"/>
    </w:rPr>
  </w:style>
  <w:style w:type="character" w:styleId="Hyperlink">
    <w:name w:val="Hyperlink"/>
    <w:rPr>
      <w:color w:val="005BDC"/>
      <w:u w:val="single"/>
    </w:rPr>
  </w:style>
  <w:style w:type="table" w:styleId="DWFTable">
    <w:name w:val="DWF Table"/>
    <w:tblPr>
      <w:tblBorders>
        <w:top w:val="single" w:sz="4" w:color="DBE3EE"/>
        <w:bottom w:val="single" w:sz="4" w:color="DBE3EE"/>
        <w:insideH w:val="single" w:sz="4" w:color="DBE3EE"/>
      </w:tblBorders>
      <w:tblCellMar>
        <w:top w:w="80" w:type="dxa"/>
        <w:left w:w="100" w:type="dxa"/>
        <w:bottom w:w="8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10" Type="http://schemas.openxmlformats.org/officeDocument/2006/relationships/image" Target="media/image1.png"/><Relationship Id="rId11" Type="http://schemas.openxmlformats.org/officeDocument/2006/relationships/hyperlink" Target="http://trafic.dwf.ro/" TargetMode="External"/><Relationship Id="rId12" Type="http://schemas.openxmlformats.org/officeDocument/2006/relationships/hyperlink" Target="mailto:mona@dwf.ro" TargetMode="External"/><Relationship Id="rId13" Type="http://schemas.openxmlformats.org/officeDocument/2006/relationships/hyperlink" Target="https://dwf.ro/companie/comunicate-de-presa/trafic-dwf-ro-actualizare-date-august-2026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Traficul online din România își încetinește scǎderea, iar AI accelerează: ce arată datele actualizate pe trafic.dwf.ro</dc:title>
  <dc:subject>Comunicat de presă DWF</dc:subject>
  <dc:creator>DWF</dc:creator>
  <dc:language>ro-RO</dc:language>
  <dcterms:created xsi:type="dcterms:W3CDTF">2026-09-11T09:00:00Z</dcterms:created>
  <dcterms:modified xsi:type="dcterms:W3CDTF">2026-09-11T09:00:00Z</dcterms:modified>
</cp:coreProperties>
</file>