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/>
      <w:r>
        <w:drawing>
          <wp:inline distT="0" distB="0" distL="0" distR="0">
            <wp:extent cx="1188720" cy="519598"/>
            <wp:docPr id="1" name="Imagine 1" descr="Logo DWF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Logo DWF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519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Kicker"/>
      </w:pPr>
      <w:r>
        <w:t xml:space="preserve">Comunicat de presă</w:t>
      </w:r>
    </w:p>
    <w:p>
      <w:pPr>
        <w:pStyle w:val="Title"/>
      </w:pPr>
      <w:r>
        <w:t xml:space="preserve">Traficul din AI crește rapid în România: ce arată datele reale din 799 de site-uri, într-un dashboard public trafic.dwf.ro lansat de DWF</w:t>
      </w:r>
    </w:p>
    <w:p>
      <w:pPr>
        <w:pStyle w:val="Subtitle"/>
      </w:pPr>
      <w:r>
        <w:t xml:space="preserve">14 august 2026 · Date și analize</w:t>
      </w:r>
    </w:p>
    <w:p>
      <w:pPr>
        <w:pStyle w:val="Heading2"/>
      </w:pPr>
      <w:r>
        <w:t xml:space="preserve">Date cheie</w:t>
      </w:r>
    </w:p>
    <w:tbl>
      <w:tblPr>
        <w:tblStyle w:val="DWFTable"/>
        <w:tblW w:w="9000" w:type="dxa"/>
        <w:tblLook w:val="04A0" w:firstRow="1" w:firstColumn="1"/>
      </w:tblPr>
      <w:tblGrid>
        <w:gridCol w:w="2600"/>
        <w:gridCol w:w="6400"/>
      </w:tblGrid>
      <w:tr>
        <w:tc>
          <w:tcPr>
            <w:tcW w:w="2600" w:type="dxa"/>
          </w:tcPr>
          <w:p>
            <w:pPr>
              <w:pStyle w:val="TableText"/>
            </w:pPr>
            <w:r>
              <w:rPr>
                <w:b/>
              </w:rPr>
              <w:t xml:space="preserve">799</w:t>
            </w:r>
          </w:p>
        </w:tc>
        <w:tc>
          <w:tcPr>
            <w:tcW w:w="6400" w:type="dxa"/>
          </w:tcPr>
          <w:p>
            <w:pPr>
              <w:pStyle w:val="TableText"/>
            </w:pPr>
            <w:r>
              <w:t xml:space="preserve">proprietăți Google Analytics 4 analizate</w:t>
            </w:r>
          </w:p>
        </w:tc>
      </w:tr>
      <w:tr>
        <w:tc>
          <w:tcPr>
            <w:tcW w:w="2600" w:type="dxa"/>
          </w:tcPr>
          <w:p>
            <w:pPr>
              <w:pStyle w:val="TableText"/>
            </w:pPr>
            <w:r>
              <w:rPr>
                <w:b/>
              </w:rPr>
              <w:t xml:space="preserve">156,8 mil.</w:t>
            </w:r>
          </w:p>
        </w:tc>
        <w:tc>
          <w:tcPr>
            <w:tcW w:w="6400" w:type="dxa"/>
          </w:tcPr>
          <w:p>
            <w:pPr>
              <w:pStyle w:val="TableText"/>
            </w:pPr>
            <w:r>
              <w:t xml:space="preserve">sesiuni pe lună</w:t>
            </w:r>
          </w:p>
        </w:tc>
      </w:tr>
      <w:tr>
        <w:tc>
          <w:tcPr>
            <w:tcW w:w="2600" w:type="dxa"/>
          </w:tcPr>
          <w:p>
            <w:pPr>
              <w:pStyle w:val="TableText"/>
            </w:pPr>
            <w:r>
              <w:rPr>
                <w:b/>
              </w:rPr>
              <w:t xml:space="preserve">+47,6%</w:t>
            </w:r>
          </w:p>
        </w:tc>
        <w:tc>
          <w:tcPr>
            <w:tcW w:w="6400" w:type="dxa"/>
          </w:tcPr>
          <w:p>
            <w:pPr>
              <w:pStyle w:val="TableText"/>
            </w:pPr>
            <w:r>
              <w:t xml:space="preserve">trafic din asistenți AI față de anul trecut</w:t>
            </w:r>
          </w:p>
        </w:tc>
      </w:tr>
      <w:tr>
        <w:tc>
          <w:tcPr>
            <w:tcW w:w="2600" w:type="dxa"/>
          </w:tcPr>
          <w:p>
            <w:pPr>
              <w:pStyle w:val="TableText"/>
            </w:pPr>
            <w:r>
              <w:rPr>
                <w:b/>
              </w:rPr>
              <w:t xml:space="preserve">1,43%</w:t>
            </w:r>
          </w:p>
        </w:tc>
        <w:tc>
          <w:tcPr>
            <w:tcW w:w="6400" w:type="dxa"/>
          </w:tcPr>
          <w:p>
            <w:pPr>
              <w:pStyle w:val="TableText"/>
            </w:pPr>
            <w:r>
              <w:t xml:space="preserve">pondere AI în traficul de search</w:t>
            </w:r>
          </w:p>
        </w:tc>
      </w:tr>
    </w:tbl>
    <w:p>
      <w:pPr/>
    </w:p>
    <w:p>
      <w:pPr/>
      <w:r>
        <w:t xml:space="preserve">Agenția DWF lansează </w:t>
      </w:r>
      <w:hyperlink r:id="rId11">
        <w:r>
          <w:rPr>
            <w:rStyle w:val="Hyperlink"/>
            <w:b/>
          </w:rPr>
          <w:t xml:space="preserve">trafic.dwf.ro</w:t>
        </w:r>
      </w:hyperlink>
      <w:r>
        <w:t xml:space="preserve">, un dashboard public și gratuit, actualizat lunar, care oferă o imagine asupra evoluției traficului online din România. Platforma agregă anonim date din </w:t>
      </w:r>
      <w:r>
        <w:rPr>
          <w:b/>
        </w:rPr>
        <w:t xml:space="preserve">799 de proprietăți Google Analytics 4</w:t>
      </w:r>
      <w:r>
        <w:t xml:space="preserve">, însumând </w:t>
      </w:r>
      <w:r>
        <w:rPr>
          <w:b/>
        </w:rPr>
        <w:t xml:space="preserve">156,8 milioane de sesiuni</w:t>
      </w:r>
      <w:r>
        <w:t xml:space="preserve"> și </w:t>
      </w:r>
      <w:r>
        <w:rPr>
          <w:b/>
        </w:rPr>
        <w:t xml:space="preserve">824.000 de tranzacții</w:t>
      </w:r>
      <w:r>
        <w:t xml:space="preserve"> pe lună. Datele sunt updatate </w:t>
      </w:r>
      <w:r>
        <w:rPr>
          <w:b/>
        </w:rPr>
        <w:t xml:space="preserve">în fiecare lună</w:t>
      </w:r>
      <w:r>
        <w:t xml:space="preserve">, oferind o perspectivă permanent actualizată asupra pieței digitale din România.</w:t>
      </w:r>
    </w:p>
    <w:p>
      <w:pPr/>
      <w:r>
        <w:t xml:space="preserve">Proiectul este primul rezultat al Centrului de Excelență în SEO &amp; GEO al DWF și a fost coordonat de </w:t>
      </w:r>
      <w:r>
        <w:rPr>
          <w:b/>
        </w:rPr>
        <w:t xml:space="preserve">Radu Mărcușu, Search Director DWF</w:t>
      </w:r>
      <w:r>
        <w:t xml:space="preserve">, împreună cu echipele de Data Analytics, SEO și Paid Media, susținut de DAVID AI, sistemul agentic care conectează agențiile din grup.</w:t>
      </w:r>
    </w:p>
    <w:p>
      <w:pPr>
        <w:pStyle w:val="Heading1"/>
      </w:pPr>
      <w:r>
        <w:t xml:space="preserve">AI crește cel mai rapid, dar reprezintă încă o pondere mică din trafic</w:t>
      </w:r>
    </w:p>
    <w:p>
      <w:pPr/>
      <w:r>
        <w:t xml:space="preserve">Traficul provenit din asistenții AI a crescut cu </w:t>
      </w:r>
      <w:r>
        <w:rPr>
          <w:b/>
        </w:rPr>
        <w:t xml:space="preserve">47,6%</w:t>
      </w:r>
      <w:r>
        <w:t xml:space="preserve"> față de anul trecut și de </w:t>
      </w:r>
      <w:r>
        <w:rPr>
          <w:b/>
        </w:rPr>
        <w:t xml:space="preserve">360 de ori</w:t>
      </w:r>
      <w:r>
        <w:t xml:space="preserve"> în ultimii doi ani. Este singurul canal de trafic aflat pe creștere în datele analizate.</w:t>
      </w:r>
    </w:p>
    <w:p>
      <w:pPr/>
      <w:r>
        <w:t xml:space="preserve">În prezent, AI reprezintă însă doar </w:t>
      </w:r>
      <w:r>
        <w:rPr>
          <w:b/>
        </w:rPr>
        <w:t xml:space="preserve">1,43% din traficul de search</w:t>
      </w:r>
      <w:r>
        <w:t xml:space="preserve"> și aproximativ </w:t>
      </w:r>
      <w:r>
        <w:rPr>
          <w:b/>
        </w:rPr>
        <w:t xml:space="preserve">0,37% din traficul total</w:t>
      </w:r>
      <w:r>
        <w:t xml:space="preserve">. AI nu înlocuiește încă canalele tradiționale, dar este canalul cu cea mai clară dinamică de creștere.</w:t>
      </w:r>
    </w:p>
    <w:p>
      <w:pPr/>
      <w:r>
        <w:rPr>
          <w:b/>
        </w:rPr>
        <w:t xml:space="preserve">De avut în vedere:</w:t>
      </w:r>
      <w:r>
        <w:t xml:space="preserve"> Dashboardul evidențiază și existența fenomenului de </w:t>
      </w:r>
      <w:r>
        <w:rPr>
          <w:b/>
        </w:rPr>
        <w:t xml:space="preserve">„Dark AI Traffic”</w:t>
      </w:r>
      <w:r>
        <w:t xml:space="preserve">. Estimările indică faptul că aproximativ </w:t>
      </w:r>
      <w:r>
        <w:rPr>
          <w:b/>
        </w:rPr>
        <w:t xml:space="preserve">70% din traficul AI rămâne invizibil</w:t>
      </w:r>
      <w:r>
        <w:t xml:space="preserve">, atribuit canalelor Direct sau Organic </w:t>
      </w:r>
      <w:r>
        <w:rPr>
          <w:i/>
        </w:rPr>
        <w:t xml:space="preserve">sursa: studiul</w:t>
      </w:r>
      <w:r>
        <w:t xml:space="preserve"> </w:t>
      </w:r>
      <w:hyperlink r:id="rId12">
        <w:r>
          <w:rPr>
            <w:rStyle w:val="Hyperlink"/>
            <w:i/>
          </w:rPr>
          <w:t xml:space="preserve">Loamly.ai</w:t>
        </w:r>
      </w:hyperlink>
      <w:r>
        <w:rPr>
          <w:i/>
        </w:rPr>
        <w:t xml:space="preserve">, feb 2026</w:t>
      </w:r>
      <w:r>
        <w:t xml:space="preserve">.</w:t>
      </w:r>
    </w:p>
    <w:p>
      <w:pPr/>
      <w:r>
        <w:rPr>
          <w:i/>
        </w:rPr>
        <w:t xml:space="preserve">„Cea mai periculoasă cifră nu e cifra mică din rapoarte, e traficul AI pe care nu-l vezi deloc: două treimi sosește mascat ca Direct sau Organic.”</w:t>
      </w:r>
      <w:r>
        <w:t xml:space="preserve"> </w:t>
      </w:r>
      <w:r>
        <w:rPr>
          <w:b/>
        </w:rPr>
        <w:t xml:space="preserve">Radu Mărcușu, Search Director DWF</w:t>
      </w:r>
    </w:p>
    <w:p>
      <w:pPr>
        <w:pStyle w:val="Heading1"/>
      </w:pPr>
      <w:r>
        <w:t xml:space="preserve">AI este mic ca volum, dar mare ca valoare comercială</w:t>
      </w:r>
    </w:p>
    <w:p>
      <w:pPr/>
      <w:r>
        <w:t xml:space="preserve">În e-commerce, vizitatorul venit din AI </w:t>
      </w:r>
      <w:r>
        <w:rPr>
          <w:b/>
        </w:rPr>
        <w:t xml:space="preserve">cumpără de cca 1,5× mai des</w:t>
      </w:r>
      <w:r>
        <w:t xml:space="preserve"> decât cel din Google organic (rata de conversie de 2,7% vs 1,82%) și are </w:t>
      </w:r>
      <w:r>
        <w:rPr>
          <w:b/>
        </w:rPr>
        <w:t xml:space="preserve">coș cu 28% mai mare</w:t>
      </w:r>
      <w:r>
        <w:t xml:space="preserve"> (370 vs 289 lei).</w:t>
      </w:r>
    </w:p>
    <w:p>
      <w:pPr/>
      <w:r>
        <w:t xml:space="preserve">Veniturile generate de traficul AI au ajuns la </w:t>
      </w:r>
      <w:r>
        <w:rPr>
          <w:b/>
        </w:rPr>
        <w:t xml:space="preserve">1,3 milioane de lei în ultimele 30 de zile pe magazinele online din cohortă</w:t>
      </w:r>
      <w:r>
        <w:t xml:space="preserve">, în creștere cu </w:t>
      </w:r>
      <w:r>
        <w:rPr>
          <w:b/>
        </w:rPr>
        <w:t xml:space="preserve">331%</w:t>
      </w:r>
      <w:r>
        <w:t xml:space="preserve"> față de anul trecut, demonstrând o intenție de cumpărare mai ridicată.</w:t>
      </w:r>
    </w:p>
    <w:p>
      <w:pPr/>
      <w:r>
        <w:t xml:space="preserve">Concentrarea traficului este foarte mare: </w:t>
      </w:r>
      <w:r>
        <w:rPr>
          <w:b/>
        </w:rPr>
        <w:t xml:space="preserve">97,1% din traficul AI identificabil provine din ChatGPT</w:t>
      </w:r>
      <w:r>
        <w:t xml:space="preserve">, urmat de Claude (1,5%), Gemini (0,9%), Copilot (0,4%) și Perplexity (0,2%). La venituri, concentrarea e și mai mare: </w:t>
      </w:r>
      <w:r>
        <w:rPr>
          <w:b/>
        </w:rPr>
        <w:t xml:space="preserve">97,8% din revenue-ul atribuit AI trece tot prin ChatGPT.</w:t>
      </w:r>
    </w:p>
    <w:p>
      <w:pPr/>
      <w:r>
        <w:t xml:space="preserve">Combinația dintre creșterea rapidă, valoarea comercială ridicată și concentrarea pe o singură platformă, ChatGPT, face ca </w:t>
      </w:r>
      <w:r>
        <w:rPr>
          <w:b/>
        </w:rPr>
        <w:t xml:space="preserve">investiția în vizibilitatea AI să fie eficientă în acest moment</w:t>
      </w:r>
      <w:r>
        <w:t xml:space="preserve">. Canalul este încă mic, dar direcția este clară.</w:t>
      </w:r>
    </w:p>
    <w:p>
      <w:pPr>
        <w:pStyle w:val="Heading1"/>
      </w:pPr>
      <w:r>
        <w:t xml:space="preserve">În SEO se pierde trafic, dar se păstrează aproape integral veniturile</w:t>
      </w:r>
    </w:p>
    <w:p>
      <w:pPr/>
      <w:r>
        <w:t xml:space="preserve">Una dintre cele mai relevante diferențe dintre trafic și business apare în SEO.</w:t>
      </w:r>
    </w:p>
    <w:p>
      <w:pPr/>
      <w:r>
        <w:t xml:space="preserve">În ultimele 12 luni, </w:t>
      </w:r>
      <w:r>
        <w:rPr>
          <w:b/>
        </w:rPr>
        <w:t xml:space="preserve">sesiunile organice ale magazinelor online au scăzut cu 16,4%</w:t>
      </w:r>
      <w:r>
        <w:t xml:space="preserve">, însă </w:t>
      </w:r>
      <w:r>
        <w:rPr>
          <w:b/>
        </w:rPr>
        <w:t xml:space="preserve">veniturile din organic au scăzut cu doar 0,7%</w:t>
      </w:r>
      <w:r>
        <w:t xml:space="preserve">. În plus, veniturile organice sunt încă </w:t>
      </w:r>
      <w:r>
        <w:rPr>
          <w:b/>
        </w:rPr>
        <w:t xml:space="preserve">cu 35,7% peste nivelul de acum doi ani</w:t>
      </w:r>
      <w:r>
        <w:t xml:space="preserve">.</w:t>
      </w:r>
    </w:p>
    <w:p>
      <w:pPr/>
      <w:r>
        <w:t xml:space="preserve">Datele indică faptul că scade zona de trafic informațional, în timp ce vizitele cu intenție de cumpărare au rămas mult mai stabile.</w:t>
      </w:r>
    </w:p>
    <w:p>
      <w:pPr/>
      <w:r>
        <w:t xml:space="preserve">Astfel, o evaluare a SEO exclusiv prin numărul de sesiuni poate crea impresia unei deteriorări, care însă nu se reflectă și în business.</w:t>
      </w:r>
    </w:p>
    <w:p>
      <w:pPr/>
      <w:r>
        <w:rPr>
          <w:b/>
        </w:rPr>
        <w:t xml:space="preserve">Paid crește ca business, dar și ca investiție</w:t>
      </w:r>
    </w:p>
    <w:p>
      <w:pPr/>
      <w:r>
        <w:t xml:space="preserve">Traficul paid a scăzut cu doar </w:t>
      </w:r>
      <w:r>
        <w:rPr>
          <w:b/>
        </w:rPr>
        <w:t xml:space="preserve">1,7%</w:t>
      </w:r>
      <w:r>
        <w:t xml:space="preserve"> în ultimul an. Bugetele paid au crescut cu </w:t>
      </w:r>
      <w:r>
        <w:rPr>
          <w:b/>
        </w:rPr>
        <w:t xml:space="preserve">56,7%</w:t>
      </w:r>
      <w:r>
        <w:t xml:space="preserve">, iar veniturile cu </w:t>
      </w:r>
      <w:r>
        <w:rPr>
          <w:b/>
        </w:rPr>
        <w:t xml:space="preserve">74,2%.</w:t>
      </w:r>
      <w:r>
        <w:t xml:space="preserve"> În aceeași perioadă, </w:t>
      </w:r>
      <w:r>
        <w:rPr>
          <w:b/>
        </w:rPr>
        <w:t xml:space="preserve">CPC-ul mediu a crescut cu 19,5%, până la 0,77 lei</w:t>
      </w:r>
      <w:r>
        <w:t xml:space="preserve">.</w:t>
      </w:r>
    </w:p>
    <w:p>
      <w:pPr/>
      <w:r>
        <w:t xml:space="preserve">Pe întreaga cohortă, traficul paid a scăzut cu doar 1,7% în ultimul an, cea mai mică scădere dintre canalele clasice. Pe magazinele online analizate (</w:t>
      </w:r>
      <w:r>
        <w:rPr>
          <w:i/>
        </w:rPr>
        <w:t xml:space="preserve">proprietățile cu Google Ads conectat în GA4</w:t>
      </w:r>
      <w:r>
        <w:t xml:space="preserve">) însă, paid-ul a crescut: cu 22,4% mai multe sesiuni și cu 19,5% mai multe venituri decât acum un an.</w:t>
      </w:r>
    </w:p>
    <w:p>
      <w:pPr/>
      <w:r>
        <w:t xml:space="preserve">În ultimii doi ani, pe proprietățile cu Google Ads conectat, bugetele au crescut cu 56,7%, iar veniturile din paid cu 74,2%. CPC-ul mediu a crescut cu 19,5%, până la 0,77 lei.</w:t>
      </w:r>
    </w:p>
    <w:p>
      <w:pPr/>
      <w:r>
        <w:t xml:space="preserve">Datele arată că Paid continuă să producă valoare și să susțină creșterea, dar într-un context în care și investițiile, și costul per click sunt mai mari. În e-commerce, </w:t>
      </w:r>
      <w:r>
        <w:rPr>
          <w:i/>
        </w:rPr>
        <w:t xml:space="preserve">piața plătește mai mult și pentru că se cumpără mai mult, nu doar pentru că s-a scumpit click-ul.</w:t>
      </w:r>
    </w:p>
    <w:p>
      <w:pPr/>
      <w:r>
        <w:rPr>
          <w:b/>
        </w:rPr>
        <w:t xml:space="preserve">Piața nu pierde business, ci trafic pe canalele tradiționale</w:t>
      </w:r>
    </w:p>
    <w:p>
      <w:pPr/>
      <w:r>
        <w:t xml:space="preserve">În ultimele 12 luni, t</w:t>
      </w:r>
      <w:r>
        <w:rPr>
          <w:b/>
        </w:rPr>
        <w:t xml:space="preserve">raficul total analizat a scăzut cu 10,7%</w:t>
      </w:r>
      <w:r>
        <w:t xml:space="preserve">, iar t</w:t>
      </w:r>
      <w:r>
        <w:rPr>
          <w:b/>
        </w:rPr>
        <w:t xml:space="preserve">raficul din search cu 20,0%</w:t>
      </w:r>
      <w:r>
        <w:t xml:space="preserve">. În același timp, magazinele online din cohortă au înregistrat </w:t>
      </w:r>
      <w:r>
        <w:rPr>
          <w:b/>
        </w:rPr>
        <w:t xml:space="preserve">12,2% mai multe sesiuni</w:t>
      </w:r>
      <w:r>
        <w:t xml:space="preserve"> și </w:t>
      </w:r>
      <w:r>
        <w:rPr>
          <w:b/>
        </w:rPr>
        <w:t xml:space="preserve">9.8% mai multe venituri</w:t>
      </w:r>
      <w:r>
        <w:t xml:space="preserve">.</w:t>
      </w:r>
    </w:p>
    <w:p>
      <w:pPr/>
      <w:r>
        <w:t xml:space="preserve">Datele indică o redistribuire a traficului: scade în special volumul informațional, în timp ce traficul cu intenție comercială și veniturile rezistă mai bine. </w:t>
      </w:r>
      <w:r>
        <w:rPr>
          <w:b/>
        </w:rPr>
        <w:t xml:space="preserve">„Mai mult trafic” devine astfel un obiectiv mai greu de atins și mai puțin relevant pentru business.</w:t>
      </w:r>
    </w:p>
    <w:p>
      <w:pPr/>
      <w:r>
        <w:rPr>
          <w:i/>
        </w:rPr>
        <w:t xml:space="preserve">„Toată piața vorbește despre AI. Noi am deschis conturile de Analytics și am publicat cifrele. Iar ce vedem schimbă întrebarea de la care pornim: nu mai este «cum aducem mai mult trafic», ci «cum rămânem vizibili indiferent unde începe căutarea». Nu mai concurezi doar pentru prima poziție în Google.”</w:t>
      </w:r>
      <w:r>
        <w:t xml:space="preserve"> </w:t>
      </w:r>
      <w:r>
        <w:rPr>
          <w:b/>
        </w:rPr>
        <w:t xml:space="preserve">Radu Mărcușu, Search Director DWF</w:t>
      </w:r>
    </w:p>
    <w:p>
      <w:pPr/>
      <w:r>
        <w:rPr>
          <w:b/>
        </w:rPr>
        <w:t xml:space="preserve">De reținut pentru marketeri: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SEO:</w:t>
      </w:r>
      <w:r>
        <w:t xml:space="preserve"> </w:t>
      </w:r>
      <w:r>
        <w:rPr>
          <w:b/>
        </w:rPr>
        <w:t xml:space="preserve">de evaluat prin valoarea comercială pe care o generează, nu doar prin trafic.</w:t>
      </w:r>
      <w:r>
        <w:t xml:space="preserve"> Scăderea sesiunilor organice nu înseamnă scăderea performanței, atât timp cât veniturile se mențin.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Paid: continuă să fie un motor de business</w:t>
      </w:r>
      <w:r>
        <w:t xml:space="preserve">, cu mențiunea ca aceasta creștere a veniturilor vine într-un context în care și bugetele, și costul per click au crescut.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AI:</w:t>
      </w:r>
      <w:r>
        <w:t xml:space="preserve"> de adăugat în mix de acum. Este încă mic, dar este singurul canal în creștere și are deja o valoare comercială ridicată.</w:t>
      </w:r>
    </w:p>
    <w:p>
      <w:pPr/>
      <w:hyperlink r:id="rId13">
        <w:r>
          <w:rPr>
            <w:rStyle w:val="Hyperlink"/>
            <w:b/>
          </w:rPr>
          <w:t xml:space="preserve">trafic.dwf.ro</w:t>
        </w:r>
      </w:hyperlink>
      <w:r>
        <w:t xml:space="preserve"> este disponibil gratuit și este actualizat lunar.</w:t>
      </w:r>
    </w:p>
    <w:p>
      <w:pPr/>
      <w:r>
        <w:rPr>
          <w:i/>
        </w:rPr>
        <w:t xml:space="preserve">Articol susținut de DWF</w:t>
      </w:r>
    </w:p>
    <w:p>
      <w:pPr>
        <w:pStyle w:val="Heading1"/>
      </w:pPr>
      <w:r>
        <w:t xml:space="preserve">Despre DWF</w:t>
      </w:r>
    </w:p>
    <w:p>
      <w:pPr>
        <w:pStyle w:val="Boilerplate"/>
      </w:pPr>
      <w:r>
        <w:t xml:space="preserve">DWF este o agenție de digital marketing construită în jurul performanței, tehnologiei și datelor. Agenția reunește specialiști din SEO, Paid Media, Social Media, Content și AI pentru a dezvolta strategii integrate și a transforma obiectivele de business în rezultate măsurabile.</w:t>
      </w:r>
    </w:p>
    <w:p>
      <w:pPr>
        <w:pStyle w:val="Heading2"/>
      </w:pPr>
      <w:r>
        <w:t xml:space="preserve">Contact pentru presă</w:t>
      </w:r>
    </w:p>
    <w:p>
      <w:pPr/>
      <w:r>
        <w:rPr>
          <w:b/>
        </w:rPr>
        <w:t xml:space="preserve">Mona Ilie</w:t>
      </w:r>
      <w:r>
        <w:br/>
      </w:r>
      <w:r>
        <w:t xml:space="preserve">Contact relații media</w:t>
      </w:r>
      <w:r>
        <w:br/>
      </w:r>
      <w:hyperlink r:id="rId14">
        <w:r>
          <w:rPr>
            <w:rStyle w:val="Hyperlink"/>
          </w:rPr>
          <w:t xml:space="preserve">mona@dwf.ro</w:t>
        </w:r>
      </w:hyperlink>
    </w:p>
    <w:p>
      <w:pPr>
        <w:pStyle w:val="SourceNote"/>
      </w:pPr>
      <w:r>
        <w:t xml:space="preserve">Comunicat publicat pe </w:t>
      </w:r>
      <w:hyperlink r:id="rId15">
        <w:r>
          <w:rPr>
            <w:rStyle w:val="Hyperlink"/>
          </w:rPr>
          <w:t xml:space="preserve">https://dwf.ro/companie/comunicate-de-presa/trafic-dwf-ro-traficul-din-ai-creste-rapid-in-romania</w:t>
        </w:r>
      </w:hyperlink>
    </w:p>
    <w:sectPr>
      <w:pgSz w:w="11906" w:h="16838"/>
      <w:pgMar w:top="1300" w:right="1300" w:bottom="1300" w:left="1300" w:header="600" w:footer="60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  <w:lvlOverride w:ilvl="0">
      <w:startOverride w:val="1"/>
    </w:lvlOverride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ro-RO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  <w:qFormat/>
    <w:rPr>
      <w:color w:val="262D3A"/>
    </w:rPr>
  </w:style>
  <w:style w:type="paragraph" w:styleId="Title">
    <w:name w:val="Title"/>
    <w:basedOn w:val="Normal"/>
    <w:next w:val="Normal"/>
    <w:qFormat/>
    <w:pPr>
      <w:spacing w:before="120" w:after="200" w:line="264" w:lineRule="auto"/>
    </w:pPr>
    <w:rPr>
      <w:b/>
      <w:color w:val="002060"/>
      <w:sz w:val="44"/>
      <w:szCs w:val="44"/>
    </w:rPr>
  </w:style>
  <w:style w:type="paragraph" w:styleId="Kicker">
    <w:name w:val="Kicker"/>
    <w:basedOn w:val="Normal"/>
    <w:next w:val="Title"/>
    <w:qFormat/>
    <w:pPr>
      <w:spacing w:before="240" w:after="60"/>
    </w:pPr>
    <w:rPr>
      <w:b/>
      <w:caps/>
      <w:color w:val="005BDC"/>
      <w:spacing w:val="20"/>
      <w:sz w:val="18"/>
      <w:szCs w:val="18"/>
    </w:rPr>
  </w:style>
  <w:style w:type="paragraph" w:styleId="Subtitle">
    <w:name w:val="Subtitle"/>
    <w:basedOn w:val="Normal"/>
    <w:next w:val="Normal"/>
    <w:qFormat/>
    <w:pPr>
      <w:pBdr>
        <w:bottom w:val="single" w:sz="4" w:space="8" w:color="DBE3EE"/>
      </w:pBdr>
      <w:spacing w:after="280"/>
    </w:pPr>
    <w:rPr>
      <w:color w:val="535F72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color w:val="002060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color w:val="002060"/>
      <w:sz w:val="25"/>
      <w:szCs w:val="25"/>
    </w:rPr>
  </w:style>
  <w:style w:type="paragraph" w:styleId="Lead">
    <w:name w:val="Lead"/>
    <w:basedOn w:val="Normal"/>
    <w:qFormat/>
    <w:rPr>
      <w:b/>
      <w:color w:val="002060"/>
      <w:sz w:val="26"/>
      <w:szCs w:val="26"/>
    </w:rPr>
  </w:style>
  <w:style w:type="paragraph" w:styleId="Quote">
    <w:name w:val="Quote"/>
    <w:basedOn w:val="Normal"/>
    <w:next w:val="Normal"/>
    <w:qFormat/>
    <w:pPr>
      <w:pBdr>
        <w:left w:val="single" w:sz="18" w:space="12" w:color="0068FF"/>
      </w:pBdr>
      <w:ind w:left="340"/>
    </w:pPr>
    <w:rPr>
      <w:color w:val="002060"/>
      <w:sz w:val="24"/>
      <w:szCs w:val="24"/>
    </w:rPr>
  </w:style>
  <w:style w:type="paragraph" w:styleId="ListBullet">
    <w:name w:val="List Bullet"/>
    <w:basedOn w:val="Normal"/>
    <w:qFormat/>
    <w:pPr>
      <w:spacing w:after="80"/>
      <w:ind w:left="720" w:hanging="360"/>
    </w:pPr>
  </w:style>
  <w:style w:type="paragraph" w:styleId="ListNumber">
    <w:name w:val="List Number"/>
    <w:basedOn w:val="Normal"/>
    <w:qFormat/>
    <w:pPr>
      <w:spacing w:after="80"/>
      <w:ind w:left="720" w:hanging="360"/>
    </w:pPr>
  </w:style>
  <w:style w:type="paragraph" w:styleId="Boilerplate">
    <w:name w:val="Boilerplate"/>
    <w:basedOn w:val="Normal"/>
    <w:qFormat/>
    <w:rPr>
      <w:color w:val="535F72"/>
      <w:sz w:val="20"/>
      <w:szCs w:val="20"/>
    </w:rPr>
  </w:style>
  <w:style w:type="paragraph" w:styleId="SourceNote">
    <w:name w:val="Source Note"/>
    <w:basedOn w:val="Normal"/>
    <w:qFormat/>
    <w:pPr>
      <w:spacing w:before="240"/>
    </w:pPr>
    <w:rPr>
      <w:color w:val="535F72"/>
      <w:sz w:val="18"/>
      <w:szCs w:val="18"/>
    </w:rPr>
  </w:style>
  <w:style w:type="paragraph" w:styleId="TableText">
    <w:name w:val="Table Text"/>
    <w:basedOn w:val="Normal"/>
    <w:qFormat/>
    <w:pPr>
      <w:spacing w:after="0" w:line="240" w:lineRule="auto"/>
    </w:pPr>
    <w:rPr>
      <w:sz w:val="20"/>
      <w:szCs w:val="20"/>
    </w:rPr>
  </w:style>
  <w:style w:type="character" w:styleId="Hyperlink">
    <w:name w:val="Hyperlink"/>
    <w:rPr>
      <w:color w:val="005BDC"/>
      <w:u w:val="single"/>
    </w:rPr>
  </w:style>
  <w:style w:type="table" w:styleId="DWFTable">
    <w:name w:val="DWF Table"/>
    <w:tblPr>
      <w:tblBorders>
        <w:top w:val="single" w:sz="4" w:color="DBE3EE"/>
        <w:bottom w:val="single" w:sz="4" w:color="DBE3EE"/>
        <w:insideH w:val="single" w:sz="4" w:color="DBE3EE"/>
      </w:tblBorders>
      <w:tblCellMar>
        <w:top w:w="80" w:type="dxa"/>
        <w:left w:w="100" w:type="dxa"/>
        <w:bottom w:w="80" w:type="dxa"/>
        <w:right w:w="10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10" Type="http://schemas.openxmlformats.org/officeDocument/2006/relationships/image" Target="media/image1.png"/><Relationship Id="rId11" Type="http://schemas.openxmlformats.org/officeDocument/2006/relationships/hyperlink" Target="http://trafic.dwf.ro/" TargetMode="External"/><Relationship Id="rId12" Type="http://schemas.openxmlformats.org/officeDocument/2006/relationships/hyperlink" Target="http://loamly.ai/" TargetMode="External"/><Relationship Id="rId13" Type="http://schemas.openxmlformats.org/officeDocument/2006/relationships/hyperlink" Target="http://trafic.dwf.ro/" TargetMode="External"/><Relationship Id="rId14" Type="http://schemas.openxmlformats.org/officeDocument/2006/relationships/hyperlink" Target="mailto:mona@dwf.ro" TargetMode="External"/><Relationship Id="rId15" Type="http://schemas.openxmlformats.org/officeDocument/2006/relationships/hyperlink" Target="https://dwf.ro/companie/comunicate-de-presa/trafic-dwf-ro-traficul-din-ai-creste-rapid-in-romani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Traficul din AI crește rapid în România: ce arată datele reale din 799 de site-uri, într-un dashboard public trafic.dwf.ro lansat de DWF</dc:title>
  <dc:subject>Comunicat de presă DWF</dc:subject>
  <dc:creator>DWF</dc:creator>
  <dc:language>ro-RO</dc:language>
  <dcterms:created xsi:type="dcterms:W3CDTF">2026-08-14T09:00:00Z</dcterms:created>
  <dcterms:modified xsi:type="dcterms:W3CDTF">2026-08-14T09:00:00Z</dcterms:modified>
</cp:coreProperties>
</file>