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r>
        <w:drawing>
          <wp:inline distT="0" distB="0" distL="0" distR="0">
            <wp:extent cx="1188720" cy="519598"/>
            <wp:docPr id="1" name="Imagine 1" descr="Logo DWF"/>
            <a:graphic xmlns:a="http://schemas.openxmlformats.org/drawingml/2006/main">
              <a:graphicData uri="http://schemas.openxmlformats.org/drawingml/2006/picture">
                <pic:pic xmlns:pic="http://schemas.openxmlformats.org/drawingml/2006/picture">
                  <pic:nvPicPr>
                    <pic:cNvPr id="1" name="image1.png" descr="Logo DWF"/>
                    <pic:cNvPicPr/>
                  </pic:nvPicPr>
                  <pic:blipFill>
                    <a:blip r:embed="rId10"/>
                    <a:stretch>
                      <a:fillRect/>
                    </a:stretch>
                  </pic:blipFill>
                  <pic:spPr>
                    <a:xfrm>
                      <a:off x="0" y="0"/>
                      <a:ext cx="1188720" cy="519598"/>
                    </a:xfrm>
                    <a:prstGeom prst="rect">
                      <a:avLst/>
                    </a:prstGeom>
                  </pic:spPr>
                </pic:pic>
              </a:graphicData>
            </a:graphic>
          </wp:inline>
        </w:drawing>
      </w:r>
    </w:p>
    <w:p>
      <w:pPr>
        <w:pStyle w:val="Kicker"/>
      </w:pPr>
      <w:r>
        <w:t xml:space="preserve">Comunicat de presă</w:t>
      </w:r>
    </w:p>
    <w:p>
      <w:pPr>
        <w:pStyle w:val="Title"/>
      </w:pPr>
      <w:r>
        <w:t xml:space="preserve">Liviu Taloi / DWF: Dacă te bazezi pe cifrele din Google Analytics pentru a evalua eficiența canalelor media în care investești, atunci trebuie să-l instalezi corect!</w:t>
      </w:r>
    </w:p>
    <w:p>
      <w:pPr>
        <w:pStyle w:val="Subtitle"/>
      </w:pPr>
      <w:r>
        <w:t xml:space="preserve">23 martie 2022 · Evenimente</w:t>
      </w:r>
    </w:p>
    <w:p>
      <w:pPr/>
      <w:r>
        <w:t xml:space="preserve">Activezi în domeniul ecommerce și eficiența afacerii tale depinde în mare măsură de modul în care folosești canalele media. Ca să evaluezi campaniile de PPC performance, SEO, social media sau email marketing utilizezi Google Analytics (GA), cel mai popular instrument de analiză pentru business-ul tău în mediul online.</w:t>
      </w:r>
    </w:p>
    <w:p>
      <w:pPr/>
      <w:r>
        <w:t xml:space="preserve">Liviu Taloi, Data Insights Manager la DWF susține 4 webinarii gratuite despre instalarea corectă a Google Analytics. Află cum să setezi în mod profesionist instrumentele de GA la întâlnirile online organizate de DWF, cea mai mare agenție SEO din România.</w:t>
      </w:r>
    </w:p>
    <w:p>
      <w:pPr>
        <w:pStyle w:val="Heading1"/>
      </w:pPr>
      <w:r>
        <w:t xml:space="preserve">De ce să participi la webinariile de Google Analytics de la DWF</w:t>
      </w:r>
    </w:p>
    <w:p>
      <w:pPr/>
      <w:r>
        <w:t xml:space="preserve">Prin participarea la aceste evenimente online beneficiezi de acces interactiv la expertiza specialiștilor în data analytics. Participi live la diagnosticarea datelor colectate în contul tău de GA. Afli care sunt erorile ce afectează rata de conversie, comanda medie și alți metrici utilizați în mod curent pentru evaluarea activității în online.</w:t>
      </w:r>
    </w:p>
    <w:p>
      <w:pPr/>
      <w:r>
        <w:t xml:space="preserve">Vei învăța să identifici și să rezolvi instalarea greșită a schemei de Enhanced ECommerce. Vei înțelege importanța colaborării cu un analist de business care să interpreteze rezultatele și să te ajute în luarea celor mai bune decizii de marketing online în Google Analytics și Data Studio.</w:t>
      </w:r>
    </w:p>
    <w:p>
      <w:pPr/>
      <w:r>
        <w:t xml:space="preserve">Vei fi în legătură directă cu Liviu Taloi, un specialist care activează de peste 20 ani în marketing online și este fondatorul celei mai mari comunități de ecommerce din România, ECOMpedia.</w:t>
      </w:r>
    </w:p>
    <w:p>
      <w:pPr/>
      <w:r>
        <w:t xml:space="preserve">Vei afla cum funcționează un departament de Data Insights și cum poți să colaborezi cu DWF pentru a crește eficiența activității tale, prin utilizarea completă și corectă a instrumentelor de GA.</w:t>
      </w:r>
    </w:p>
    <w:p>
      <w:pPr>
        <w:pStyle w:val="Heading1"/>
      </w:pPr>
      <w:r>
        <w:t xml:space="preserve">Ce cuprind webinariile GA organizate de DWF</w:t>
      </w:r>
    </w:p>
    <w:p>
      <w:pPr/>
      <w:r>
        <w:t xml:space="preserve">Vor fi 4 întâlniri online gratuite ce cuprind elemente teoretice și practice, pentru ca toți participanții să înceapă </w:t>
      </w:r>
      <w:r>
        <w:rPr>
          <w:i/>
        </w:rPr>
        <w:t xml:space="preserve">marea curățenie de primăvară în conturile lor de GA</w:t>
      </w:r>
      <w:r>
        <w:t xml:space="preserve">:</w:t>
      </w:r>
    </w:p>
    <w:p>
      <w:pPr>
        <w:pStyle w:val="ListBullet"/>
        <w:numPr>
          <w:ilvl w:val="0"/>
          <w:numId w:val="1"/>
        </w:numPr>
      </w:pPr>
      <w:r>
        <w:t xml:space="preserve">23 martie, ora 18.00 – Webinar 1 – </w:t>
      </w:r>
      <w:r>
        <w:rPr>
          <w:b/>
        </w:rPr>
        <w:t xml:space="preserve">The Google Analytics 20’s Checklist</w:t>
      </w:r>
      <w:r>
        <w:t xml:space="preserve"> și evaluare practică a setărilor din GA pentru conturile participanților, atât în main room, cât și personalizat, în breakout rooms;</w:t>
      </w:r>
    </w:p>
    <w:p>
      <w:pPr>
        <w:pStyle w:val="ListBullet"/>
        <w:numPr>
          <w:ilvl w:val="0"/>
          <w:numId w:val="1"/>
        </w:numPr>
      </w:pPr>
      <w:r>
        <w:t xml:space="preserve">30 martie, ora 18.00 – Webinar 2 – </w:t>
      </w:r>
      <w:r>
        <w:rPr>
          <w:b/>
        </w:rPr>
        <w:t xml:space="preserve">Erori pe numere importante – comenzi, goals</w:t>
      </w:r>
      <w:r>
        <w:t xml:space="preserve"> și evaluarea cont cu cont a erorilor de GA prezentate în partea teoretică: verificarea setărilor pentru site-uri de lead generation, procedura de verificare a dublurilor de comenzi, dashboard în Data Studio sau Custom Report în GA, investigarea procentului de comenzi lipsă din GA;</w:t>
      </w:r>
    </w:p>
    <w:p>
      <w:pPr>
        <w:pStyle w:val="ListBullet"/>
        <w:numPr>
          <w:ilvl w:val="0"/>
          <w:numId w:val="1"/>
        </w:numPr>
      </w:pPr>
      <w:r>
        <w:t xml:space="preserve">06 aprilie, ora 18.00 – Webinar 3 – </w:t>
      </w:r>
      <w:r>
        <w:rPr>
          <w:b/>
        </w:rPr>
        <w:t xml:space="preserve">Schema de Enhanced Ecommerce (EE)</w:t>
      </w:r>
      <w:r>
        <w:t xml:space="preserve"> și exemple practice de implementare a EE la conturile de Google Analytics ale participanților, din punct de vedere tehnic și al calității informațiilor colectate;</w:t>
      </w:r>
    </w:p>
    <w:p>
      <w:pPr>
        <w:pStyle w:val="ListBullet"/>
        <w:numPr>
          <w:ilvl w:val="0"/>
          <w:numId w:val="1"/>
        </w:numPr>
      </w:pPr>
      <w:r>
        <w:t xml:space="preserve">13 aprilie, ora 18.00 – Webinar 4 – </w:t>
      </w:r>
      <w:r>
        <w:rPr>
          <w:b/>
        </w:rPr>
        <w:t xml:space="preserve">Recapitulare și concluzii</w:t>
      </w:r>
      <w:r>
        <w:t xml:space="preserve">, inclusiv sesiune de Q&amp;A, verificări punctuale de instalări GA și networking în vederea colaborării ulterioare.</w:t>
      </w:r>
    </w:p>
    <w:p>
      <w:pPr/>
      <w:r>
        <w:t xml:space="preserve">Simpla accesare a GA nu-ți garantează accesul la informații actuale și utile. </w:t>
      </w:r>
      <w:hyperlink r:id="rId11">
        <w:r>
          <w:rPr>
            <w:rStyle w:val="Hyperlink"/>
          </w:rPr>
          <w:t xml:space="preserve">Înscrie-te la webinar</w:t>
        </w:r>
      </w:hyperlink>
      <w:r>
        <w:t xml:space="preserve"> ca să afli cum să instalezi corect funcționalitățile specifice, astfel încât să ai un tracking corect de Google Analytics. Vei lua iei decizii mai rapid, cu un grad mai mare de certitudine, iar navigarea în online va fi bazată pe date actualizate și relevante pentru business-ul tău.</w:t>
      </w:r>
    </w:p>
    <w:p>
      <w:pPr>
        <w:pStyle w:val="Heading1"/>
      </w:pPr>
      <w:r>
        <w:t xml:space="preserve">Despre DWF</w:t>
      </w:r>
    </w:p>
    <w:p>
      <w:pPr>
        <w:pStyle w:val="Boilerplate"/>
      </w:pPr>
      <w:r>
        <w:t xml:space="preserve">DWF este o agenție de digital marketing construită în jurul performanței, tehnologiei și datelor. Agenția reunește specialiști din SEO, Paid Media, Social Media, Content și AI pentru a dezvolta strategii integrate și a transforma obiectivele de business în rezultate măsurabile.</w:t>
      </w:r>
    </w:p>
    <w:p>
      <w:pPr>
        <w:pStyle w:val="Heading2"/>
      </w:pPr>
      <w:r>
        <w:t xml:space="preserve">Contact pentru presă</w:t>
      </w:r>
    </w:p>
    <w:p>
      <w:pPr/>
      <w:r>
        <w:rPr>
          <w:b/>
        </w:rPr>
        <w:t xml:space="preserve">Mona Ilie</w:t>
      </w:r>
      <w:r>
        <w:br/>
      </w:r>
      <w:r>
        <w:t xml:space="preserve">Contact relații media</w:t>
      </w:r>
      <w:r>
        <w:br/>
      </w:r>
      <w:hyperlink r:id="rId12">
        <w:r>
          <w:rPr>
            <w:rStyle w:val="Hyperlink"/>
          </w:rPr>
          <w:t xml:space="preserve">mona@dwf.ro</w:t>
        </w:r>
      </w:hyperlink>
    </w:p>
    <w:p>
      <w:pPr>
        <w:pStyle w:val="SourceNote"/>
      </w:pPr>
      <w:r>
        <w:t xml:space="preserve">Comunicat publicat pe </w:t>
      </w:r>
      <w:hyperlink r:id="rId13">
        <w:r>
          <w:rPr>
            <w:rStyle w:val="Hyperlink"/>
          </w:rPr>
          <w:t xml:space="preserve">https://dwf.ro/companie/comunicate-de-presa/liviu-taloi-webinarii-google-analytics</w:t>
        </w:r>
      </w:hyperlink>
    </w:p>
    <w:sectPr>
      <w:pgSz w:w="11906" w:h="16838"/>
      <w:pgMar w:top="1300" w:right="1300" w:bottom="1300" w:left="1300" w:header="600" w:footer="60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abstractNum w:abstractNumId="1">
    <w:multiLevelType w:val="singleLevel"/>
    <w:lvl w:ilvl="0">
      <w:start w:val="1"/>
      <w:numFmt w:val="decimal"/>
      <w:lvlText w:val="%1."/>
      <w:lvlJc w:val="left"/>
      <w:pPr>
        <w:ind w:left="720" w:hanging="360"/>
      </w:pPr>
    </w:lvl>
  </w:abstractNum>
  <w:num w:numId="1">
    <w:abstractNumId w:val="0"/>
    <w:lvlOverride w:ilvl="0">
      <w:startOverride w:val="1"/>
    </w:lvlOverride>
  </w:num>
</w:numbering>
</file>

<file path=word/styles.xml><?xml version="1.0" encoding="utf-8"?>
<w:styles xmlns:w="http://schemas.openxmlformats.org/wordprocessingml/2006/main">
  <w:docDefaults>
    <w:rPrDefault>
      <w:rPr>
        <w:rFonts w:ascii="Arial" w:hAnsi="Arial" w:eastAsia="Arial" w:cs="Arial"/>
        <w:sz w:val="22"/>
        <w:szCs w:val="22"/>
        <w:lang w:val="ro-RO"/>
      </w:rPr>
    </w:rPrDefault>
    <w:pPrDefault>
      <w:pPr>
        <w:spacing w:after="160" w:line="300" w:lineRule="auto"/>
      </w:pPr>
    </w:pPrDefault>
  </w:docDefaults>
  <w:style w:type="paragraph" w:default="1" w:styleId="Normal">
    <w:name w:val="Normal"/>
    <w:qFormat/>
    <w:rPr>
      <w:color w:val="262D3A"/>
    </w:rPr>
  </w:style>
  <w:style w:type="paragraph" w:styleId="Title">
    <w:name w:val="Title"/>
    <w:basedOn w:val="Normal"/>
    <w:next w:val="Normal"/>
    <w:qFormat/>
    <w:pPr>
      <w:spacing w:before="120" w:after="200" w:line="264" w:lineRule="auto"/>
    </w:pPr>
    <w:rPr>
      <w:b/>
      <w:color w:val="002060"/>
      <w:sz w:val="44"/>
      <w:szCs w:val="44"/>
    </w:rPr>
  </w:style>
  <w:style w:type="paragraph" w:styleId="Kicker">
    <w:name w:val="Kicker"/>
    <w:basedOn w:val="Normal"/>
    <w:next w:val="Title"/>
    <w:qFormat/>
    <w:pPr>
      <w:spacing w:before="240" w:after="60"/>
    </w:pPr>
    <w:rPr>
      <w:b/>
      <w:caps/>
      <w:color w:val="005BDC"/>
      <w:spacing w:val="20"/>
      <w:sz w:val="18"/>
      <w:szCs w:val="18"/>
    </w:rPr>
  </w:style>
  <w:style w:type="paragraph" w:styleId="Subtitle">
    <w:name w:val="Subtitle"/>
    <w:basedOn w:val="Normal"/>
    <w:next w:val="Normal"/>
    <w:qFormat/>
    <w:pPr>
      <w:pBdr>
        <w:bottom w:val="single" w:sz="4" w:space="8" w:color="DBE3EE"/>
      </w:pBdr>
      <w:spacing w:after="280"/>
    </w:pPr>
    <w:rPr>
      <w:color w:val="535F72"/>
      <w:sz w:val="20"/>
      <w:szCs w:val="20"/>
    </w:rPr>
  </w:style>
  <w:style w:type="paragraph" w:styleId="Heading1">
    <w:name w:val="heading 1"/>
    <w:basedOn w:val="Normal"/>
    <w:next w:val="Normal"/>
    <w:qFormat/>
    <w:pPr>
      <w:keepNext/>
      <w:spacing w:before="360" w:after="120"/>
      <w:outlineLvl w:val="0"/>
    </w:pPr>
    <w:rPr>
      <w:b/>
      <w:color w:val="002060"/>
      <w:sz w:val="30"/>
      <w:szCs w:val="30"/>
    </w:rPr>
  </w:style>
  <w:style w:type="paragraph" w:styleId="Heading2">
    <w:name w:val="heading 2"/>
    <w:basedOn w:val="Normal"/>
    <w:next w:val="Normal"/>
    <w:qFormat/>
    <w:pPr>
      <w:keepNext/>
      <w:spacing w:before="280" w:after="100"/>
      <w:outlineLvl w:val="1"/>
    </w:pPr>
    <w:rPr>
      <w:b/>
      <w:color w:val="002060"/>
      <w:sz w:val="25"/>
      <w:szCs w:val="25"/>
    </w:rPr>
  </w:style>
  <w:style w:type="paragraph" w:styleId="Lead">
    <w:name w:val="Lead"/>
    <w:basedOn w:val="Normal"/>
    <w:qFormat/>
    <w:rPr>
      <w:b/>
      <w:color w:val="002060"/>
      <w:sz w:val="26"/>
      <w:szCs w:val="26"/>
    </w:rPr>
  </w:style>
  <w:style w:type="paragraph" w:styleId="Quote">
    <w:name w:val="Quote"/>
    <w:basedOn w:val="Normal"/>
    <w:next w:val="Normal"/>
    <w:qFormat/>
    <w:pPr>
      <w:pBdr>
        <w:left w:val="single" w:sz="18" w:space="12" w:color="0068FF"/>
      </w:pBdr>
      <w:ind w:left="340"/>
    </w:pPr>
    <w:rPr>
      <w:color w:val="002060"/>
      <w:sz w:val="24"/>
      <w:szCs w:val="24"/>
    </w:rPr>
  </w:style>
  <w:style w:type="paragraph" w:styleId="ListBullet">
    <w:name w:val="List Bullet"/>
    <w:basedOn w:val="Normal"/>
    <w:qFormat/>
    <w:pPr>
      <w:spacing w:after="80"/>
      <w:ind w:left="720" w:hanging="360"/>
    </w:pPr>
  </w:style>
  <w:style w:type="paragraph" w:styleId="ListNumber">
    <w:name w:val="List Number"/>
    <w:basedOn w:val="Normal"/>
    <w:qFormat/>
    <w:pPr>
      <w:spacing w:after="80"/>
      <w:ind w:left="720" w:hanging="360"/>
    </w:pPr>
  </w:style>
  <w:style w:type="paragraph" w:styleId="Boilerplate">
    <w:name w:val="Boilerplate"/>
    <w:basedOn w:val="Normal"/>
    <w:qFormat/>
    <w:rPr>
      <w:color w:val="535F72"/>
      <w:sz w:val="20"/>
      <w:szCs w:val="20"/>
    </w:rPr>
  </w:style>
  <w:style w:type="paragraph" w:styleId="SourceNote">
    <w:name w:val="Source Note"/>
    <w:basedOn w:val="Normal"/>
    <w:qFormat/>
    <w:pPr>
      <w:spacing w:before="240"/>
    </w:pPr>
    <w:rPr>
      <w:color w:val="535F72"/>
      <w:sz w:val="18"/>
      <w:szCs w:val="18"/>
    </w:rPr>
  </w:style>
  <w:style w:type="paragraph" w:styleId="TableText">
    <w:name w:val="Table Text"/>
    <w:basedOn w:val="Normal"/>
    <w:qFormat/>
    <w:pPr>
      <w:spacing w:after="0" w:line="240" w:lineRule="auto"/>
    </w:pPr>
    <w:rPr>
      <w:sz w:val="20"/>
      <w:szCs w:val="20"/>
    </w:rPr>
  </w:style>
  <w:style w:type="character" w:styleId="Hyperlink">
    <w:name w:val="Hyperlink"/>
    <w:rPr>
      <w:color w:val="005BDC"/>
      <w:u w:val="single"/>
    </w:rPr>
  </w:style>
  <w:style w:type="table" w:styleId="DWFTable">
    <w:name w:val="DWF Table"/>
    <w:tblPr>
      <w:tblBorders>
        <w:top w:val="single" w:sz="4" w:color="DBE3EE"/>
        <w:bottom w:val="single" w:sz="4" w:color="DBE3EE"/>
        <w:insideH w:val="single" w:sz="4" w:color="DBE3EE"/>
      </w:tblBorders>
      <w:tblCellMar>
        <w:top w:w="80" w:type="dxa"/>
        <w:left w:w="100" w:type="dxa"/>
        <w:bottom w:w="8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10" Type="http://schemas.openxmlformats.org/officeDocument/2006/relationships/image" Target="media/image1.png"/><Relationship Id="rId11" Type="http://schemas.openxmlformats.org/officeDocument/2006/relationships/hyperlink" Target="https://dwf.ro/resurse/webinarii/recapitulare-marea-curatenie-google-analytics" TargetMode="External"/><Relationship Id="rId12" Type="http://schemas.openxmlformats.org/officeDocument/2006/relationships/hyperlink" Target="mailto:mona@dwf.ro" TargetMode="External"/><Relationship Id="rId13" Type="http://schemas.openxmlformats.org/officeDocument/2006/relationships/hyperlink" Target="https://dwf.ro/companie/comunicate-de-presa/liviu-taloi-webinarii-google-analytics"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Liviu Taloi / DWF: Dacă te bazezi pe cifrele din Google Analytics pentru a evalua eficiența canalelor media în care investești, atunci trebuie să-l instalezi corect!</dc:title>
  <dc:subject>Comunicat de presă DWF</dc:subject>
  <dc:creator>DWF</dc:creator>
  <dc:language>ro-RO</dc:language>
  <dcterms:created xsi:type="dcterms:W3CDTF">2022-03-23T09:00:00Z</dcterms:created>
  <dcterms:modified xsi:type="dcterms:W3CDTF">2022-03-23T09:00:00Z</dcterms:modified>
</cp:coreProperties>
</file>